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239</w:t>
      </w:r>
    </w:p>
    <w:p>
      <w:r>
        <w:t>Bundesgericht (BGE), 1979-01-30, DE</w:t>
      </w:r>
    </w:p>
    <w:p>
      <w:r>
        <w:rPr>
          <w:b/>
        </w:rPr>
        <w:t xml:space="preserve">Quelle: </w:t>
      </w:r>
      <w:r>
        <w:t>https://mcp.opencaselaw.ch/entscheid/bge_105 IV 239</w:t>
      </w:r>
    </w:p>
    <w:p>
      <w:r>
        <w:t>FR: ATF 105 IV 239</w:t>
      </w:r>
    </w:p>
    <w:p>
      <w:r>
        <w:t>IT: DTF 105 IV 239</w:t>
      </w:r>
    </w:p>
    <w:p>
      <w:pPr>
        <w:pStyle w:val="Heading2"/>
      </w:pPr>
      <w:r>
        <w:t>Regeste</w:t>
      </w:r>
    </w:p>
    <w:p>
      <w:r>
        <w:t>Regeste Art. 69, 375 StGB. Anrechnung der Sicherheitshaft. Einem Angeklagten, der nicht trölerisch appelliert hat, ist die während des Appellationsverfahrens ausgestandene Sicherheitshaft voll anzurechnen, auch wenn er von der nach kantonalem Recht bestehenden Möglichkeit, den Vollzug der Strafe oder Massnahme freiwillig vorzeitig anzutreten, keinen Gebrauch gemacht hat.</w:t>
      </w:r>
    </w:p>
    <w:p>
      <w:pPr>
        <w:pStyle w:val="Heading2"/>
      </w:pPr>
      <w:r>
        <w:t>Erwägungen</w:t>
      </w:r>
    </w:p>
    <w:p>
      <w:r>
        <w:rPr>
          <w:b/>
        </w:rPr>
        <w:t>E. 1</w:t>
      </w:r>
    </w:p>
    <w:p>
      <w:r>
        <w:t>Gemäss Art. 364 bernisches StrV kann der Angeschuldigte trotz Einlegung eines Rechtsmittels die Strafe antreten. Er ist bei Einlegung des Rechtsmittels vom Gerichtspräsidenten auf dieses Recht ausdrücklich aufmerksam zu machen. Versehentlich wurde der Beschwerdeführer erst am 10. November 1978 auf diese Bestimmung hingewiesen. Er weigerte sich, die Strafe vorzeitig anzutreten, und lehnte namentlich eine allfällige Verwahrung in der Strafanstalt Thorberg ab. Das Obergericht vertritt die Meinung, der Beschwerdeführer habe den Strafantritt aus nicht stichhaltigen Gründen verweigert und deshalb zumindest nach dem 10. November 1978 versucht, durch Verlängerung der Sicherheitshaft dem als grösseres Übel empfundenen Strafvollzug zu entgehen. Darin erblickt es einen hinreichenden Grund, die nach diesem Zeitpunkt ausgestandene Haft auf die Strafe nicht anzurechnen. BGE 105 IV 239 S. 241</w:t>
      </w:r>
    </w:p>
    <w:p>
      <w:r>
        <w:rPr>
          <w:b/>
        </w:rPr>
        <w:t>E. 2</w:t>
      </w:r>
    </w:p>
    <w:p>
      <w:r>
        <w:t>Die erstinstanzlich ausgesprochene Zuchthausstrafe blieb unangefochten und ist in Rechtskraft erwachsen. Vollziehbar wäre sie aber gegen den Willen des Beschwerdeführers erst geworden, wenn in Gutheissung der Appellation von der Verwahrung abgesehen worden wäre, schliesst doch die Verwahrung, die "an Stelle des Vollzuges einer Zuchthaus- oder Gefängnisstrafe" tritt ( Art. 42 Ziff. 1 Abs. 1 StGB ), den Vollzug dieser Freiheitsstrafen von Bundesrechts wegen aus. Bis zum Entscheid über die Verwahrung blieb also offen, ob die Zuchthausstrafe oder die Verwahrung zu vollziehen sein werde. "Letztes Urteil" im Sinne des Art. 375 StGB war somit erst das Urteil des Obergerichtes. Die Vorinstanz erachtete sich deshalb zu Recht als zuständig, über die Anrechnung der Untersuchungshaft nach Art. 69 StGB zu befinden.</w:t>
      </w:r>
    </w:p>
    <w:p>
      <w:r>
        <w:rPr>
          <w:b/>
        </w:rPr>
        <w:t>E. 3</w:t>
      </w:r>
    </w:p>
    <w:p>
      <w:r>
        <w:t>Die Untersuchungshaft ist dem Verurteilten grundsätzlich auf die Freiheitsstrafe anzurechnen. Nicht angerechnet wird sie, wenn der Täter die Untersuchungshaft durch sein Verhalten nach der Tat herbeigeführt oder verlängert hat ( Art. 69 StGB ). Doch genügt nach der neueren Rechtsprechung nicht, dass dieses Verhalten des Täters kausal für die Anordnung oder Verlängerung der Untersuchungshaft war. Das Verhalten des Verurteilten nach der Tat muss ihm, gemessen an rechtsstaatlichen Grundsätzen, auch objektiv und subjektiv zum Vorwurf gemacht werden können ( BGE 102 IV 157 /158 E. d, BGE 103 IV 10 E. 1). Das ist nicht nur der Fall, wenn ein Beschuldigter beispielsweise durch irreführende Angaben unnötige Erhebungen veranlasst, sondern trifft auch zu, wenn er seine Verteidigungsrechte offensichtlich zu sachfremden Zwecken missbraucht, z.B. leugnet oder trölerisch Rechtsmittel ergreift, um durch Verlängerung der Haftzeit den Strafvollzug entsprechend zu verkürzen ( BGE 103 IV 11 /12).</w:t>
      </w:r>
    </w:p>
    <w:p>
      <w:r>
        <w:rPr>
          <w:b/>
        </w:rPr>
        <w:t>E. 4</w:t>
      </w:r>
    </w:p>
    <w:p>
      <w:r>
        <w:t>Die Vorinstanz erklärt selber, sie verweigere die Anrechnung der Untersuchungshaft nicht deshalb, weil der Beschwerdeführer gegen die Verwahrung appelliert habe; denn wenn es sich um eine so einschneidende Massnahme wie die Verwahrung handle, soll dem Angeschuldigten eine - auch wenn wenig aussichtsreiche - zweite Beurteilung des Falles ermöglicht werden. Dieser Erwägung ist beizupflichten. Hat aber der Beschwerdeführer die Appellation als legitimes Verteidigungsrecht gebraucht, kann ihm die dadurch bewirkte Verlängerung der Untersuchungshaft nicht zum Vorwurf BGE 105 IV 239 S. 242 gemacht werden. Sie muss ihm daher für die volle Dauer des Appellationsverfahrens angerechnet werden. Das folgt auch aus dem in Art. 375 StGB enthaltenen und hier sinngemäss anwendbaren Grundsatz, dass nach dem letzten Urteil erlittene Sicherheitshaft, die nicht trölerisch durch ein Rechtsmittelverfahren verlängert worden ist, ungekürzt auf die zu vollziehende Freiheitsstrafe anzurechnen ist. Die Anrechnung der Haft kann nicht mit der Begründung ausgeschlossen werden, der Beschwerdeführer hätte nach kantonalem Recht die Möglichkeit gehabt, freiwillig vorzeitig den Strafvollzug bzw. den Vollzug der Massnahme anzutreten. Darauf nimmt das Bundesrecht, das die Anrechenbarkeit der Untersuchungshaft abschliessend regelt, nicht Rücksicht. Stand es dem Beschwerdeführer frei, den Vollzug vorzeitig anzutreten oder ihn nicht anzutreten, kann ihm weder objektiv noch subjektiv ein Vorwurf gemacht werden, wenn er es aus irgendwelchen Gründen vorgezogen hat, in Sicherheitshaft zu bleiben, statt den Vollzug der Massnahme oder der Strafe anzutreten. Hat er rechtlich die Wahl, darf er sie so treffen, wie er sie für sich vorteilhafter ansieht. Wieso dies nach den Umständen hätte rechtsmissbräuchlich sein sollen, ist nicht ersichtlich. Nicht diese Wahl hat das Verfahren verlängert, sondern sein Recht auf Appellation, das wie die Vorinstanz richtig erkannt hat, nicht rechtsmissbräuchlich ausgeübt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